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5E62" w:rsidRDefault="005014DA">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rsidR="00E75E62" w:rsidRDefault="00E75E62">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rsidR="00E75E62" w:rsidRDefault="005014DA">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rsidR="00E75E62" w:rsidRDefault="005014DA">
      <w:pPr>
        <w:numPr>
          <w:ilvl w:val="1"/>
          <w:numId w:val="1"/>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1"/>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E75E62">
        <w:tc>
          <w:tcPr>
            <w:tcW w:w="2263" w:type="dxa"/>
          </w:tcPr>
          <w:p w:rsidR="00E75E62" w:rsidRDefault="005014DA">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rsidR="00E75E62" w:rsidRDefault="005014DA">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rsidR="00E75E62" w:rsidRDefault="005014DA">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rsidR="00E75E62" w:rsidRDefault="005014DA">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E75E62" w:rsidRDefault="005014DA">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rsidR="00E75E62" w:rsidRDefault="005014DA">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rsidR="00E75E62" w:rsidRDefault="005014DA">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rsidR="00E75E62" w:rsidRDefault="005014DA">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rsidR="00E75E62" w:rsidRDefault="005014DA">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rsidR="00E75E62" w:rsidRDefault="005014DA">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rsidR="00E75E62" w:rsidRDefault="005014DA">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rsidR="00E75E62" w:rsidRDefault="005014DA">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rsidR="00E75E62" w:rsidRDefault="005014DA">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rsidR="00E75E62" w:rsidRDefault="005014DA">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rsidR="00E75E62" w:rsidRDefault="005014DA">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necessity and proportionality of the Processing in relation to the Deliverables;</w:t>
      </w:r>
    </w:p>
    <w:p w:rsidR="00E75E62" w:rsidRDefault="005014DA">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rsidR="00E75E62" w:rsidRDefault="005014DA">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rsidR="00E75E62" w:rsidRDefault="005014DA">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bookmarkStart w:id="0" w:name="bookmark=id.gjdgxs" w:colFirst="0" w:colLast="0"/>
      <w:bookmarkEnd w:id="0"/>
      <w:r>
        <w:rPr>
          <w:rFonts w:ascii="Arial" w:eastAsia="Arial" w:hAnsi="Arial" w:cs="Arial"/>
          <w:sz w:val="24"/>
          <w:szCs w:val="24"/>
        </w:rPr>
        <w:t>The Processor shall, in relation to any Personal Data Processed in connection with its obligations under the Contract:</w:t>
      </w:r>
    </w:p>
    <w:p w:rsidR="00E75E62" w:rsidRDefault="005014DA">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rsidR="00E75E62" w:rsidRDefault="005014DA">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 having taken account of the:</w:t>
      </w:r>
    </w:p>
    <w:p w:rsidR="00E75E62" w:rsidRDefault="005014DA">
      <w:pPr>
        <w:numPr>
          <w:ilvl w:val="3"/>
          <w:numId w:val="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3" w:name="bookmark=id.3znysh7" w:colFirst="0" w:colLast="0"/>
      <w:bookmarkEnd w:id="3"/>
    </w:p>
    <w:p w:rsidR="00E75E62" w:rsidRDefault="005014DA">
      <w:pPr>
        <w:numPr>
          <w:ilvl w:val="3"/>
          <w:numId w:val="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rsidR="00E75E62" w:rsidRDefault="005014DA">
      <w:pPr>
        <w:numPr>
          <w:ilvl w:val="3"/>
          <w:numId w:val="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rsidR="00E75E62" w:rsidRDefault="005014DA">
      <w:pPr>
        <w:numPr>
          <w:ilvl w:val="3"/>
          <w:numId w:val="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rsidR="00E75E62" w:rsidRDefault="005014DA">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bookmarkStart w:id="4" w:name="bookmark=id.2et92p0" w:colFirst="0" w:colLast="0"/>
      <w:bookmarkEnd w:id="4"/>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rsidR="00E75E62" w:rsidRDefault="005014DA">
      <w:pPr>
        <w:numPr>
          <w:ilvl w:val="3"/>
          <w:numId w:val="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rsidR="00E75E62" w:rsidRDefault="005014DA">
      <w:pPr>
        <w:numPr>
          <w:ilvl w:val="3"/>
          <w:numId w:val="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rsidR="00E75E62" w:rsidRDefault="005014DA">
      <w:pPr>
        <w:numPr>
          <w:ilvl w:val="4"/>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 of the Core Terms;</w:t>
      </w:r>
    </w:p>
    <w:p w:rsidR="00E75E62" w:rsidRDefault="005014DA">
      <w:pPr>
        <w:numPr>
          <w:ilvl w:val="4"/>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rsidR="00E75E62" w:rsidRDefault="005014DA">
      <w:pPr>
        <w:numPr>
          <w:ilvl w:val="4"/>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rsidR="00E75E62" w:rsidRDefault="005014DA">
      <w:pPr>
        <w:numPr>
          <w:ilvl w:val="4"/>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rsidR="00E75E62" w:rsidRDefault="005014DA">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not transfer Personal Data outside of the EU unless the prior written consent of the Controller has been obtained and the following conditions are fulfilled:</w:t>
      </w:r>
    </w:p>
    <w:p w:rsidR="00E75E62" w:rsidRDefault="005014DA">
      <w:pPr>
        <w:numPr>
          <w:ilvl w:val="3"/>
          <w:numId w:val="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 xml:space="preserve">the Controller or the Processor has provided appropriate safeguards in relation to the transfer (whether in accordance with </w:t>
      </w:r>
      <w:r>
        <w:rPr>
          <w:rFonts w:ascii="Arial" w:eastAsia="Arial" w:hAnsi="Arial" w:cs="Arial"/>
          <w:sz w:val="24"/>
          <w:szCs w:val="24"/>
        </w:rPr>
        <w:lastRenderedPageBreak/>
        <w:t>UK GDPR Article 46 or LED Article 37) as determined by the Controller;</w:t>
      </w:r>
    </w:p>
    <w:p w:rsidR="00E75E62" w:rsidRDefault="005014DA">
      <w:pPr>
        <w:numPr>
          <w:ilvl w:val="3"/>
          <w:numId w:val="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t>the Data Subject has enforceable rights and effective legal remedies;</w:t>
      </w:r>
    </w:p>
    <w:p w:rsidR="00E75E62" w:rsidRDefault="005014DA">
      <w:pPr>
        <w:numPr>
          <w:ilvl w:val="3"/>
          <w:numId w:val="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rsidR="00E75E62" w:rsidRDefault="005014DA">
      <w:pPr>
        <w:numPr>
          <w:ilvl w:val="3"/>
          <w:numId w:val="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any reasonable instructions notified to it in advance by the Controller with respect to the Processing of the Personal Data; and</w:t>
      </w:r>
    </w:p>
    <w:p w:rsidR="00E75E62" w:rsidRDefault="005014DA">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rsidR="00E75E62" w:rsidRDefault="005014DA">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 xml:space="preserve">Subject to paragraph 8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rsidR="00E75E62" w:rsidRDefault="005014DA">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rsidR="00E75E62" w:rsidRDefault="005014DA">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rsidR="00E75E62" w:rsidRDefault="005014DA">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rsidR="00E75E62" w:rsidRDefault="005014DA">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rsidR="00E75E62" w:rsidRDefault="005014DA">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rsidR="00E75E62" w:rsidRDefault="005014DA">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rsidR="00E75E62" w:rsidRDefault="005014DA">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7 of this Joint Schedule 11 shall include the provision of further information to the Controller, as details become available. </w:t>
      </w:r>
    </w:p>
    <w:p w:rsidR="00E75E62" w:rsidRDefault="005014DA">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Protection Legislation and any complaint, communication or request made under paragraph 7 of this Joint Schedule 11 (and insofar as possible within the timescales reasonably required by the Controller) including by immediately providing:</w:t>
      </w:r>
    </w:p>
    <w:p w:rsidR="00E75E62" w:rsidRDefault="005014DA">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rsidR="00E75E62" w:rsidRDefault="005014DA">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 xml:space="preserve">such assistance as is reasonably requested by the Controller to enable it to comply with a Data Subject Access Request within the relevant timescales set out in the Data Protection Legislation; </w:t>
      </w:r>
    </w:p>
    <w:p w:rsidR="00E75E62" w:rsidRDefault="005014DA">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rsidR="00E75E62" w:rsidRDefault="005014DA">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rsidR="00E75E62" w:rsidRDefault="005014DA">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rsidR="00E75E62" w:rsidRDefault="005014DA">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rsidR="00E75E62" w:rsidRDefault="005014DA">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rsidR="00E75E62" w:rsidRDefault="005014DA">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bookmarkStart w:id="12" w:name="_heading=h.26in1rg" w:colFirst="0" w:colLast="0"/>
      <w:bookmarkEnd w:id="12"/>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rsidR="00E75E62" w:rsidRDefault="005014DA">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rsidR="00E75E62" w:rsidRDefault="005014DA">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rsidR="00E75E62" w:rsidRDefault="005014DA">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rsidR="00E75E62" w:rsidRDefault="005014DA">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rsidR="00E75E62" w:rsidRDefault="005014DA">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rsidR="00E75E62" w:rsidRDefault="005014DA">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rsidR="00E75E62" w:rsidRDefault="005014DA">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rsidR="00E75E62" w:rsidRDefault="005014DA">
      <w:pPr>
        <w:numPr>
          <w:ilvl w:val="2"/>
          <w:numId w:val="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rsidR="00E75E62" w:rsidRDefault="005014DA">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rsidR="00E75E62" w:rsidRDefault="005014DA">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E75E62" w:rsidRDefault="005014DA">
      <w:pPr>
        <w:numPr>
          <w:ilvl w:val="1"/>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rsidR="00E75E62" w:rsidRDefault="005014DA">
      <w:pPr>
        <w:rPr>
          <w:rFonts w:ascii="Arial" w:eastAsia="Arial" w:hAnsi="Arial" w:cs="Arial"/>
          <w:b/>
          <w:color w:val="000000"/>
          <w:sz w:val="24"/>
          <w:szCs w:val="24"/>
        </w:rPr>
      </w:pPr>
      <w:r>
        <w:br w:type="page"/>
      </w:r>
    </w:p>
    <w:p w:rsidR="00E75E62" w:rsidRDefault="005014DA">
      <w:pPr>
        <w:pStyle w:val="Heading2"/>
        <w:spacing w:before="0" w:after="240"/>
        <w:ind w:left="709" w:hanging="709"/>
        <w:rPr>
          <w:rFonts w:ascii="Arial" w:eastAsia="Arial" w:hAnsi="Arial" w:cs="Arial"/>
          <w:b w:val="0"/>
          <w:sz w:val="24"/>
          <w:szCs w:val="24"/>
        </w:rPr>
      </w:pPr>
      <w:r>
        <w:rPr>
          <w:rFonts w:ascii="Arial" w:eastAsia="Arial" w:hAnsi="Arial" w:cs="Arial"/>
          <w:sz w:val="24"/>
          <w:szCs w:val="24"/>
        </w:rPr>
        <w:lastRenderedPageBreak/>
        <w:t>Annex 1 - Processing Personal Data</w:t>
      </w:r>
    </w:p>
    <w:p w:rsidR="00E75E62" w:rsidRDefault="005014DA">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rsidR="00E75E62" w:rsidRDefault="005014DA">
      <w:pPr>
        <w:keepNext/>
        <w:numPr>
          <w:ilvl w:val="3"/>
          <w:numId w:val="2"/>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p>
    <w:p w:rsidR="00753379" w:rsidRPr="00753379" w:rsidRDefault="00753379" w:rsidP="00753379">
      <w:pPr>
        <w:keepNext/>
        <w:spacing w:after="0" w:line="240" w:lineRule="auto"/>
        <w:ind w:left="720"/>
        <w:jc w:val="both"/>
        <w:rPr>
          <w:rFonts w:ascii="Arial" w:eastAsia="Arial" w:hAnsi="Arial" w:cs="Arial"/>
          <w:sz w:val="24"/>
          <w:szCs w:val="24"/>
        </w:rPr>
      </w:pPr>
      <w:r w:rsidRPr="00753379">
        <w:rPr>
          <w:rFonts w:ascii="Arial" w:hAnsi="Arial" w:cs="Arial"/>
          <w:color w:val="000000"/>
          <w:sz w:val="24"/>
          <w:szCs w:val="24"/>
        </w:rPr>
        <w:t>Redacted under FOIA section 40, Personal Information</w:t>
      </w:r>
    </w:p>
    <w:p w:rsidR="00E75E62" w:rsidRDefault="005014DA">
      <w:pPr>
        <w:keepNext/>
        <w:numPr>
          <w:ilvl w:val="3"/>
          <w:numId w:val="2"/>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Supplier’s Data Protection Officer are: </w:t>
      </w:r>
    </w:p>
    <w:p w:rsidR="00753379" w:rsidRPr="00753379" w:rsidRDefault="00753379" w:rsidP="00753379">
      <w:pPr>
        <w:keepNext/>
        <w:spacing w:after="0" w:line="240" w:lineRule="auto"/>
        <w:ind w:left="720"/>
        <w:jc w:val="both"/>
        <w:rPr>
          <w:rFonts w:ascii="Arial" w:eastAsia="Arial" w:hAnsi="Arial" w:cs="Arial"/>
          <w:sz w:val="24"/>
          <w:szCs w:val="24"/>
        </w:rPr>
      </w:pPr>
      <w:r w:rsidRPr="00753379">
        <w:rPr>
          <w:rFonts w:ascii="Arial" w:hAnsi="Arial" w:cs="Arial"/>
          <w:color w:val="000000"/>
          <w:sz w:val="24"/>
          <w:szCs w:val="24"/>
        </w:rPr>
        <w:t>Redacted under FOIA section 40, Personal Information</w:t>
      </w:r>
    </w:p>
    <w:p w:rsidR="00E75E62" w:rsidRDefault="005014DA">
      <w:pPr>
        <w:keepNext/>
        <w:numPr>
          <w:ilvl w:val="3"/>
          <w:numId w:val="2"/>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bookmarkStart w:id="15" w:name="_GoBack"/>
      <w:bookmarkEnd w:id="15"/>
    </w:p>
    <w:p w:rsidR="00E75E62" w:rsidRDefault="005014DA">
      <w:pPr>
        <w:keepNext/>
        <w:numPr>
          <w:ilvl w:val="3"/>
          <w:numId w:val="2"/>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rsidR="00E75E62" w:rsidRDefault="00E75E62">
      <w:pPr>
        <w:keepNext/>
        <w:ind w:left="720"/>
        <w:rPr>
          <w:rFonts w:ascii="Arial" w:eastAsia="Arial" w:hAnsi="Arial" w:cs="Arial"/>
          <w:sz w:val="24"/>
          <w:szCs w:val="24"/>
        </w:rPr>
      </w:pPr>
    </w:p>
    <w:tbl>
      <w:tblPr>
        <w:tblStyle w:val="a2"/>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E75E62">
        <w:trPr>
          <w:trHeight w:val="700"/>
        </w:trPr>
        <w:tc>
          <w:tcPr>
            <w:tcW w:w="2263" w:type="dxa"/>
            <w:shd w:val="clear" w:color="auto" w:fill="BFBFBF"/>
            <w:vAlign w:val="center"/>
          </w:tcPr>
          <w:p w:rsidR="00E75E62" w:rsidRDefault="005014DA">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rsidR="00E75E62" w:rsidRDefault="005014DA">
            <w:pPr>
              <w:jc w:val="center"/>
              <w:rPr>
                <w:rFonts w:ascii="Arial" w:eastAsia="Arial" w:hAnsi="Arial" w:cs="Arial"/>
                <w:b/>
                <w:sz w:val="24"/>
                <w:szCs w:val="24"/>
              </w:rPr>
            </w:pPr>
            <w:r>
              <w:rPr>
                <w:rFonts w:ascii="Arial" w:eastAsia="Arial" w:hAnsi="Arial" w:cs="Arial"/>
                <w:b/>
                <w:sz w:val="24"/>
                <w:szCs w:val="24"/>
              </w:rPr>
              <w:t>Details</w:t>
            </w:r>
          </w:p>
        </w:tc>
      </w:tr>
      <w:tr w:rsidR="00E75E62">
        <w:trPr>
          <w:trHeight w:val="1620"/>
        </w:trPr>
        <w:tc>
          <w:tcPr>
            <w:tcW w:w="2263" w:type="dxa"/>
            <w:shd w:val="clear" w:color="auto" w:fill="auto"/>
          </w:tcPr>
          <w:p w:rsidR="00E75E62" w:rsidRDefault="005014DA">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rsidR="00E75E62" w:rsidRDefault="005014DA">
            <w:pPr>
              <w:rPr>
                <w:rFonts w:ascii="Arial" w:eastAsia="Arial" w:hAnsi="Arial" w:cs="Arial"/>
                <w:b/>
                <w:sz w:val="24"/>
                <w:szCs w:val="24"/>
              </w:rPr>
            </w:pPr>
            <w:r>
              <w:rPr>
                <w:rFonts w:ascii="Arial" w:eastAsia="Arial" w:hAnsi="Arial" w:cs="Arial"/>
                <w:b/>
                <w:sz w:val="24"/>
                <w:szCs w:val="24"/>
              </w:rPr>
              <w:t>The Relevant Authority is Controller and the Supplier is Processor</w:t>
            </w:r>
          </w:p>
          <w:p w:rsidR="00E75E62" w:rsidRDefault="005014DA">
            <w:pPr>
              <w:rPr>
                <w:rFonts w:ascii="Arial" w:eastAsia="Arial" w:hAnsi="Arial" w:cs="Arial"/>
                <w:sz w:val="24"/>
                <w:szCs w:val="24"/>
              </w:rPr>
            </w:pPr>
            <w:r>
              <w:rPr>
                <w:rFonts w:ascii="Arial" w:eastAsia="Arial" w:hAnsi="Arial" w:cs="Arial"/>
                <w:sz w:val="24"/>
                <w:szCs w:val="24"/>
              </w:rPr>
              <w:t>The Parties acknowledge that in accordance with paragraph 3 to paragraph 16 and for the purposes of the Data Protection Legislation, the Relevant Authority is the Controller and the Supplier is the Processor of the following Personal Data:</w:t>
            </w:r>
          </w:p>
          <w:p w:rsidR="00E75E62" w:rsidRDefault="00E75E62">
            <w:pPr>
              <w:rPr>
                <w:rFonts w:ascii="Arial" w:eastAsia="Arial" w:hAnsi="Arial" w:cs="Arial"/>
                <w:sz w:val="24"/>
                <w:szCs w:val="24"/>
              </w:rPr>
            </w:pPr>
          </w:p>
          <w:p w:rsidR="00E75E62" w:rsidRDefault="005014DA">
            <w:pPr>
              <w:numPr>
                <w:ilvl w:val="0"/>
                <w:numId w:val="3"/>
              </w:numPr>
              <w:pBdr>
                <w:top w:val="nil"/>
                <w:left w:val="nil"/>
                <w:bottom w:val="nil"/>
                <w:right w:val="nil"/>
                <w:between w:val="nil"/>
              </w:pBdr>
              <w:jc w:val="both"/>
              <w:rPr>
                <w:rFonts w:ascii="Arial" w:eastAsia="Arial" w:hAnsi="Arial" w:cs="Arial"/>
                <w:sz w:val="24"/>
                <w:szCs w:val="24"/>
              </w:rPr>
            </w:pPr>
            <w:r w:rsidRPr="00CB1992">
              <w:rPr>
                <w:rFonts w:ascii="Arial" w:eastAsia="Arial" w:hAnsi="Arial" w:cs="Arial"/>
                <w:sz w:val="24"/>
                <w:szCs w:val="24"/>
              </w:rPr>
              <w:t>The Scope falls within the legal service activity to deliver a specification and customer guidance under the legal services panel framework for the CCS transport technology category in CCS. No personal data is envisaged in delivering both phases of the contracts other thank contact details for stakeholders that are directly involved</w:t>
            </w:r>
          </w:p>
          <w:p w:rsidR="00CB1992" w:rsidRPr="00CB1992" w:rsidRDefault="00CB1992" w:rsidP="00CB1992">
            <w:pPr>
              <w:pBdr>
                <w:top w:val="nil"/>
                <w:left w:val="nil"/>
                <w:bottom w:val="nil"/>
                <w:right w:val="nil"/>
                <w:between w:val="nil"/>
              </w:pBdr>
              <w:ind w:left="720"/>
              <w:jc w:val="both"/>
              <w:rPr>
                <w:rFonts w:ascii="Arial" w:eastAsia="Arial" w:hAnsi="Arial" w:cs="Arial"/>
                <w:sz w:val="24"/>
                <w:szCs w:val="24"/>
              </w:rPr>
            </w:pPr>
          </w:p>
        </w:tc>
      </w:tr>
      <w:tr w:rsidR="00E75E62">
        <w:trPr>
          <w:trHeight w:val="1460"/>
        </w:trPr>
        <w:tc>
          <w:tcPr>
            <w:tcW w:w="2263" w:type="dxa"/>
            <w:shd w:val="clear" w:color="auto" w:fill="auto"/>
          </w:tcPr>
          <w:p w:rsidR="00E75E62" w:rsidRDefault="005014DA">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rsidR="00E75E62" w:rsidRPr="00CB1992" w:rsidRDefault="005014DA">
            <w:pPr>
              <w:rPr>
                <w:rFonts w:ascii="Arial" w:eastAsia="Arial" w:hAnsi="Arial" w:cs="Arial"/>
                <w:sz w:val="24"/>
                <w:szCs w:val="24"/>
              </w:rPr>
            </w:pPr>
            <w:r w:rsidRPr="00CB1992">
              <w:rPr>
                <w:rFonts w:ascii="Arial" w:eastAsia="Arial" w:hAnsi="Arial" w:cs="Arial"/>
                <w:sz w:val="24"/>
                <w:szCs w:val="24"/>
              </w:rPr>
              <w:t xml:space="preserve">10 weeks for phase 1 and 12 months from the contract start date plus holding data for 6 years after the contract end date where applicable </w:t>
            </w:r>
          </w:p>
        </w:tc>
      </w:tr>
      <w:tr w:rsidR="00E75E62">
        <w:trPr>
          <w:trHeight w:val="1520"/>
        </w:trPr>
        <w:tc>
          <w:tcPr>
            <w:tcW w:w="2263" w:type="dxa"/>
            <w:shd w:val="clear" w:color="auto" w:fill="auto"/>
          </w:tcPr>
          <w:p w:rsidR="00E75E62" w:rsidRDefault="005014DA">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rsidR="00E75E62" w:rsidRPr="00CB1992" w:rsidRDefault="005014DA">
            <w:pPr>
              <w:rPr>
                <w:rFonts w:ascii="Arial" w:eastAsia="Arial" w:hAnsi="Arial" w:cs="Arial"/>
                <w:sz w:val="24"/>
                <w:szCs w:val="24"/>
              </w:rPr>
            </w:pPr>
            <w:r w:rsidRPr="00CB1992">
              <w:rPr>
                <w:rFonts w:ascii="Arial" w:eastAsia="Arial" w:hAnsi="Arial" w:cs="Arial"/>
                <w:sz w:val="24"/>
                <w:szCs w:val="24"/>
              </w:rPr>
              <w:t>Stakeholder contact details may be processed, used, stored and otherwise made available for communication and delivery of the contract and for any statutory obligations.</w:t>
            </w:r>
          </w:p>
        </w:tc>
      </w:tr>
      <w:tr w:rsidR="00E75E62">
        <w:trPr>
          <w:trHeight w:val="1400"/>
        </w:trPr>
        <w:tc>
          <w:tcPr>
            <w:tcW w:w="2263" w:type="dxa"/>
            <w:shd w:val="clear" w:color="auto" w:fill="auto"/>
          </w:tcPr>
          <w:p w:rsidR="00E75E62" w:rsidRDefault="005014DA">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rsidR="00E75E62" w:rsidRPr="00CB1992" w:rsidRDefault="005014DA">
            <w:pPr>
              <w:rPr>
                <w:rFonts w:ascii="Arial" w:eastAsia="Arial" w:hAnsi="Arial" w:cs="Arial"/>
                <w:sz w:val="24"/>
                <w:szCs w:val="24"/>
              </w:rPr>
            </w:pPr>
            <w:r w:rsidRPr="00CB1992">
              <w:rPr>
                <w:rFonts w:ascii="Arial" w:eastAsia="Arial" w:hAnsi="Arial" w:cs="Arial"/>
                <w:sz w:val="24"/>
                <w:szCs w:val="24"/>
              </w:rPr>
              <w:t>name,</w:t>
            </w:r>
            <w:r w:rsidR="00CB1992">
              <w:rPr>
                <w:rFonts w:ascii="Arial" w:eastAsia="Arial" w:hAnsi="Arial" w:cs="Arial"/>
                <w:sz w:val="24"/>
                <w:szCs w:val="24"/>
              </w:rPr>
              <w:t xml:space="preserve"> </w:t>
            </w:r>
            <w:r w:rsidRPr="00CB1992">
              <w:rPr>
                <w:rFonts w:ascii="Arial" w:eastAsia="Arial" w:hAnsi="Arial" w:cs="Arial"/>
                <w:sz w:val="24"/>
                <w:szCs w:val="24"/>
              </w:rPr>
              <w:t>email address,</w:t>
            </w:r>
            <w:r w:rsidR="00CB1992" w:rsidRPr="00CB1992">
              <w:rPr>
                <w:rFonts w:ascii="Arial" w:eastAsia="Arial" w:hAnsi="Arial" w:cs="Arial"/>
                <w:sz w:val="24"/>
                <w:szCs w:val="24"/>
              </w:rPr>
              <w:t xml:space="preserve"> </w:t>
            </w:r>
            <w:r w:rsidRPr="00CB1992">
              <w:rPr>
                <w:rFonts w:ascii="Arial" w:eastAsia="Arial" w:hAnsi="Arial" w:cs="Arial"/>
                <w:sz w:val="24"/>
                <w:szCs w:val="24"/>
              </w:rPr>
              <w:t>telephone number, images</w:t>
            </w:r>
          </w:p>
        </w:tc>
      </w:tr>
      <w:tr w:rsidR="00E75E62">
        <w:trPr>
          <w:trHeight w:val="1560"/>
        </w:trPr>
        <w:tc>
          <w:tcPr>
            <w:tcW w:w="2263" w:type="dxa"/>
            <w:shd w:val="clear" w:color="auto" w:fill="auto"/>
          </w:tcPr>
          <w:p w:rsidR="00E75E62" w:rsidRDefault="005014DA">
            <w:pPr>
              <w:rPr>
                <w:rFonts w:ascii="Arial" w:eastAsia="Arial" w:hAnsi="Arial" w:cs="Arial"/>
                <w:sz w:val="24"/>
                <w:szCs w:val="24"/>
              </w:rPr>
            </w:pPr>
            <w:r>
              <w:rPr>
                <w:rFonts w:ascii="Arial" w:eastAsia="Arial" w:hAnsi="Arial" w:cs="Arial"/>
                <w:sz w:val="24"/>
                <w:szCs w:val="24"/>
              </w:rPr>
              <w:lastRenderedPageBreak/>
              <w:t>Categories of Data Subject</w:t>
            </w:r>
          </w:p>
        </w:tc>
        <w:tc>
          <w:tcPr>
            <w:tcW w:w="7423" w:type="dxa"/>
            <w:shd w:val="clear" w:color="auto" w:fill="auto"/>
          </w:tcPr>
          <w:p w:rsidR="00E75E62" w:rsidRPr="00CB1992" w:rsidRDefault="005014DA">
            <w:pPr>
              <w:rPr>
                <w:rFonts w:ascii="Arial" w:eastAsia="Arial" w:hAnsi="Arial" w:cs="Arial"/>
                <w:sz w:val="24"/>
                <w:szCs w:val="24"/>
              </w:rPr>
            </w:pPr>
            <w:r w:rsidRPr="00CB1992">
              <w:rPr>
                <w:rFonts w:ascii="Arial" w:eastAsia="Arial" w:hAnsi="Arial" w:cs="Arial"/>
                <w:sz w:val="24"/>
                <w:szCs w:val="24"/>
              </w:rPr>
              <w:t xml:space="preserve">CCS and Supplier </w:t>
            </w:r>
            <w:sdt>
              <w:sdtPr>
                <w:tag w:val="goog_rdk_0"/>
                <w:id w:val="-1710105698"/>
              </w:sdtPr>
              <w:sdtEndPr/>
              <w:sdtContent/>
            </w:sdt>
            <w:r w:rsidRPr="00CB1992">
              <w:rPr>
                <w:rFonts w:ascii="Arial" w:eastAsia="Arial" w:hAnsi="Arial" w:cs="Arial"/>
                <w:sz w:val="24"/>
                <w:szCs w:val="24"/>
              </w:rPr>
              <w:t>Staff (including volunteers, agents, and temporary workers), members of the procurement forum including from organisations including CENEX, PA Consulting, and Department for Transport, clients, and suppliers</w:t>
            </w:r>
          </w:p>
        </w:tc>
      </w:tr>
      <w:tr w:rsidR="00E75E62">
        <w:trPr>
          <w:trHeight w:val="1660"/>
        </w:trPr>
        <w:tc>
          <w:tcPr>
            <w:tcW w:w="2263" w:type="dxa"/>
            <w:shd w:val="clear" w:color="auto" w:fill="auto"/>
          </w:tcPr>
          <w:p w:rsidR="00E75E62" w:rsidRDefault="005014DA">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rsidR="00E75E62" w:rsidRDefault="005014DA">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rsidR="00E75E62" w:rsidRPr="00CB1992" w:rsidRDefault="00CB1992">
            <w:pPr>
              <w:rPr>
                <w:rFonts w:ascii="Arial" w:eastAsia="Arial" w:hAnsi="Arial" w:cs="Arial"/>
                <w:sz w:val="24"/>
                <w:szCs w:val="24"/>
              </w:rPr>
            </w:pPr>
            <w:r>
              <w:rPr>
                <w:rFonts w:ascii="Arial" w:eastAsia="Arial" w:hAnsi="Arial" w:cs="Arial"/>
                <w:sz w:val="24"/>
                <w:szCs w:val="24"/>
              </w:rPr>
              <w:t>W</w:t>
            </w:r>
            <w:r w:rsidR="005014DA" w:rsidRPr="00CB1992">
              <w:rPr>
                <w:rFonts w:ascii="Arial" w:eastAsia="Arial" w:hAnsi="Arial" w:cs="Arial"/>
                <w:sz w:val="24"/>
                <w:szCs w:val="24"/>
              </w:rPr>
              <w:t>here applicable data will be stored for 6 years</w:t>
            </w:r>
          </w:p>
        </w:tc>
      </w:tr>
    </w:tbl>
    <w:p w:rsidR="00E75E62" w:rsidRDefault="00E75E62">
      <w:pPr>
        <w:rPr>
          <w:rFonts w:ascii="Arial" w:eastAsia="Arial" w:hAnsi="Arial" w:cs="Arial"/>
          <w:b/>
          <w:sz w:val="24"/>
          <w:szCs w:val="24"/>
        </w:rPr>
      </w:pPr>
    </w:p>
    <w:p w:rsidR="00E75E62" w:rsidRDefault="00E75E62">
      <w:pPr>
        <w:rPr>
          <w:rFonts w:ascii="Arial" w:eastAsia="Arial" w:hAnsi="Arial" w:cs="Arial"/>
          <w:b/>
          <w:color w:val="000000"/>
          <w:sz w:val="24"/>
          <w:szCs w:val="24"/>
        </w:rPr>
      </w:pPr>
      <w:bookmarkStart w:id="16" w:name="bookmark=id.1ksv4uv" w:colFirst="0" w:colLast="0"/>
      <w:bookmarkStart w:id="17" w:name="_heading=h.44sinio" w:colFirst="0" w:colLast="0"/>
      <w:bookmarkEnd w:id="16"/>
      <w:bookmarkEnd w:id="17"/>
    </w:p>
    <w:sectPr w:rsidR="00E75E62">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3E60" w:rsidRDefault="00413E60">
      <w:pPr>
        <w:spacing w:after="0" w:line="240" w:lineRule="auto"/>
      </w:pPr>
      <w:r>
        <w:separator/>
      </w:r>
    </w:p>
  </w:endnote>
  <w:endnote w:type="continuationSeparator" w:id="0">
    <w:p w:rsidR="00413E60" w:rsidRDefault="00413E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auto"/>
    <w:pitch w:val="variable"/>
    <w:sig w:usb0="E0002AFF" w:usb1="C0007843"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5E62" w:rsidRDefault="005014DA">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RM6179</w:t>
    </w:r>
    <w:r>
      <w:rPr>
        <w:rFonts w:ascii="Arial" w:eastAsia="Arial" w:hAnsi="Arial" w:cs="Arial"/>
        <w:sz w:val="20"/>
        <w:szCs w:val="20"/>
      </w:rPr>
      <w:tab/>
      <w:t xml:space="preserve">                                           </w:t>
    </w:r>
  </w:p>
  <w:p w:rsidR="00E75E62" w:rsidRDefault="005014D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CB1992">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rsidR="00E75E62" w:rsidRDefault="005014DA">
    <w:pPr>
      <w:spacing w:after="0"/>
    </w:pPr>
    <w:r>
      <w:rPr>
        <w:rFonts w:ascii="Arial" w:eastAsia="Arial" w:hAnsi="Arial" w:cs="Arial"/>
        <w:sz w:val="20"/>
        <w:szCs w:val="20"/>
      </w:rPr>
      <w:t>Model Version: v4.3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5E62" w:rsidRDefault="005014DA">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E75E62" w:rsidRDefault="005014D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rsidR="00E75E62" w:rsidRDefault="005014DA">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3E60" w:rsidRDefault="00413E60">
      <w:pPr>
        <w:spacing w:after="0" w:line="240" w:lineRule="auto"/>
      </w:pPr>
      <w:r>
        <w:separator/>
      </w:r>
    </w:p>
  </w:footnote>
  <w:footnote w:type="continuationSeparator" w:id="0">
    <w:p w:rsidR="00413E60" w:rsidRDefault="00413E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5E62" w:rsidRDefault="005014DA">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rsidR="00E75E62" w:rsidRDefault="005014D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5E62" w:rsidRDefault="005014DA">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simplePos x="0" y="0"/>
          <wp:positionH relativeFrom="column">
            <wp:posOffset>5714365</wp:posOffset>
          </wp:positionH>
          <wp:positionV relativeFrom="paragraph">
            <wp:posOffset>-13332</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61244B"/>
    <w:multiLevelType w:val="multilevel"/>
    <w:tmpl w:val="35381972"/>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3C717099"/>
    <w:multiLevelType w:val="multilevel"/>
    <w:tmpl w:val="D454108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4908712C"/>
    <w:multiLevelType w:val="multilevel"/>
    <w:tmpl w:val="10701EAE"/>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04B6BCD"/>
    <w:multiLevelType w:val="multilevel"/>
    <w:tmpl w:val="D72A097C"/>
    <w:lvl w:ilvl="0">
      <w:start w:val="23"/>
      <w:numFmt w:val="decimal"/>
      <w:pStyle w:val="Schedule"/>
      <w:lvlText w:val="%1"/>
      <w:lvlJc w:val="left"/>
      <w:pPr>
        <w:ind w:left="709" w:hanging="709"/>
      </w:pPr>
      <w:rPr>
        <w:b/>
      </w:rPr>
    </w:lvl>
    <w:lvl w:ilvl="1">
      <w:start w:val="1"/>
      <w:numFmt w:val="decimal"/>
      <w:pStyle w:val="Part"/>
      <w:lvlText w:val="%2."/>
      <w:lvlJc w:val="left"/>
      <w:pPr>
        <w:ind w:left="709" w:hanging="709"/>
      </w:pPr>
      <w:rPr>
        <w:b w:val="0"/>
        <w:i w:val="0"/>
        <w:color w:val="000000"/>
        <w:sz w:val="22"/>
        <w:szCs w:val="22"/>
      </w:rPr>
    </w:lvl>
    <w:lvl w:ilvl="2">
      <w:start w:val="1"/>
      <w:numFmt w:val="lowerLetter"/>
      <w:pStyle w:val="ScheduleTitleClause"/>
      <w:lvlText w:val="(%3)"/>
      <w:lvlJc w:val="left"/>
      <w:pPr>
        <w:ind w:left="809" w:hanging="709"/>
      </w:pPr>
      <w:rPr>
        <w:b w:val="0"/>
        <w:i w:val="0"/>
        <w:sz w:val="22"/>
        <w:szCs w:val="22"/>
      </w:rPr>
    </w:lvl>
    <w:lvl w:ilvl="3">
      <w:start w:val="1"/>
      <w:numFmt w:val="lowerRoman"/>
      <w:pStyle w:val="ScheduleUntitledsubclause1"/>
      <w:lvlText w:val="(%4)"/>
      <w:lvlJc w:val="left"/>
      <w:pPr>
        <w:ind w:left="2126" w:hanging="708"/>
      </w:pPr>
      <w:rPr>
        <w:b w:val="0"/>
        <w:i w:val="0"/>
        <w:sz w:val="22"/>
        <w:szCs w:val="22"/>
      </w:rPr>
    </w:lvl>
    <w:lvl w:ilvl="4">
      <w:start w:val="1"/>
      <w:numFmt w:val="upperLetter"/>
      <w:pStyle w:val="ScheduleUntitledsubclause2"/>
      <w:lvlText w:val="(%5)"/>
      <w:lvlJc w:val="left"/>
      <w:pPr>
        <w:ind w:left="2836" w:hanging="709"/>
      </w:pPr>
      <w:rPr>
        <w:b w:val="0"/>
        <w:i w:val="0"/>
      </w:rPr>
    </w:lvl>
    <w:lvl w:ilvl="5">
      <w:start w:val="1"/>
      <w:numFmt w:val="decimal"/>
      <w:pStyle w:val="ScheduleUntitledsubclause3"/>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3"/>
  </w:num>
  <w:num w:numId="2">
    <w:abstractNumId w:val="0"/>
  </w:num>
  <w:num w:numId="3">
    <w:abstractNumId w:val="1"/>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E62"/>
    <w:rsid w:val="00413E60"/>
    <w:rsid w:val="005014DA"/>
    <w:rsid w:val="00753379"/>
    <w:rsid w:val="00CB1992"/>
    <w:rsid w:val="00E75E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D2F314"/>
  <w15:docId w15:val="{79AF1E95-9691-4789-B732-0DD7863E5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4"/>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4"/>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5"/>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5"/>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5"/>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MCPW6YG533k+IrtQy6OG2lMTWQ==">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1724</Words>
  <Characters>9833</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Alex Jones2</cp:lastModifiedBy>
  <cp:revision>2</cp:revision>
  <dcterms:created xsi:type="dcterms:W3CDTF">2024-09-24T10:12:00Z</dcterms:created>
  <dcterms:modified xsi:type="dcterms:W3CDTF">2024-09-24T10:12:00Z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